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F90" w14:textId="77777777" w:rsidR="00400A2F" w:rsidRDefault="0047315A">
      <w:pPr>
        <w:spacing w:beforeLines="150" w:before="468" w:after="0" w:line="4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333DB3F6" w14:textId="77777777" w:rsidR="00400A2F" w:rsidRDefault="0047315A">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400A2F" w14:paraId="7D97FA4D" w14:textId="77777777">
        <w:trPr>
          <w:trHeight w:val="602"/>
          <w:tblHeader/>
          <w:jc w:val="center"/>
        </w:trPr>
        <w:tc>
          <w:tcPr>
            <w:tcW w:w="708" w:type="dxa"/>
            <w:vAlign w:val="center"/>
          </w:tcPr>
          <w:p w14:paraId="612DA661"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序号</w:t>
            </w:r>
          </w:p>
        </w:tc>
        <w:tc>
          <w:tcPr>
            <w:tcW w:w="1276" w:type="dxa"/>
            <w:vAlign w:val="center"/>
          </w:tcPr>
          <w:p w14:paraId="2F54B20D"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类别</w:t>
            </w:r>
          </w:p>
        </w:tc>
        <w:tc>
          <w:tcPr>
            <w:tcW w:w="2551" w:type="dxa"/>
            <w:vAlign w:val="center"/>
          </w:tcPr>
          <w:p w14:paraId="5F3F7C41"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具体风险描述</w:t>
            </w:r>
          </w:p>
        </w:tc>
        <w:tc>
          <w:tcPr>
            <w:tcW w:w="6237" w:type="dxa"/>
            <w:vAlign w:val="center"/>
          </w:tcPr>
          <w:p w14:paraId="218EBA28"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建议应对举措</w:t>
            </w:r>
          </w:p>
        </w:tc>
        <w:tc>
          <w:tcPr>
            <w:tcW w:w="1985" w:type="dxa"/>
            <w:vAlign w:val="center"/>
          </w:tcPr>
          <w:p w14:paraId="7B8863A0"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风险对照检查情况</w:t>
            </w:r>
          </w:p>
        </w:tc>
        <w:tc>
          <w:tcPr>
            <w:tcW w:w="1985" w:type="dxa"/>
            <w:vAlign w:val="center"/>
          </w:tcPr>
          <w:p w14:paraId="3A62DBD3" w14:textId="77777777" w:rsidR="00400A2F" w:rsidRDefault="0047315A">
            <w:pPr>
              <w:spacing w:after="0" w:line="260" w:lineRule="exact"/>
              <w:jc w:val="center"/>
              <w:rPr>
                <w:rFonts w:ascii="黑体" w:eastAsia="黑体" w:hAnsi="黑体" w:cs="黑体" w:hint="eastAsia"/>
                <w:szCs w:val="22"/>
              </w:rPr>
            </w:pPr>
            <w:r>
              <w:rPr>
                <w:rFonts w:ascii="黑体" w:eastAsia="黑体" w:hAnsi="黑体" w:cs="黑体" w:hint="eastAsia"/>
                <w:szCs w:val="22"/>
              </w:rPr>
              <w:t>风险管控与隐患处置情况</w:t>
            </w:r>
          </w:p>
        </w:tc>
      </w:tr>
      <w:tr w:rsidR="00400A2F" w14:paraId="7B56F07E" w14:textId="77777777">
        <w:trPr>
          <w:trHeight w:val="3560"/>
          <w:jc w:val="center"/>
        </w:trPr>
        <w:tc>
          <w:tcPr>
            <w:tcW w:w="708" w:type="dxa"/>
            <w:vAlign w:val="center"/>
          </w:tcPr>
          <w:p w14:paraId="4A6A553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14:paraId="6C53A832"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14:paraId="60686D1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212EE18E"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1E8FCD4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0DC28AE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400A2F" w14:paraId="60A601EF" w14:textId="77777777">
        <w:trPr>
          <w:trHeight w:val="90"/>
          <w:jc w:val="center"/>
        </w:trPr>
        <w:tc>
          <w:tcPr>
            <w:tcW w:w="708" w:type="dxa"/>
            <w:vAlign w:val="center"/>
          </w:tcPr>
          <w:p w14:paraId="5154FD4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14:paraId="4486194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783F23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4BEFD76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4B27B029"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C9DE6A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AF7967E" w14:textId="77777777">
        <w:trPr>
          <w:trHeight w:val="1190"/>
          <w:jc w:val="center"/>
        </w:trPr>
        <w:tc>
          <w:tcPr>
            <w:tcW w:w="708" w:type="dxa"/>
            <w:vAlign w:val="center"/>
          </w:tcPr>
          <w:p w14:paraId="5BA51E4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14:paraId="6887EF5F"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1F6FE5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3B87CF28"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642307E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EF3D322"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BD74BF0" w14:textId="77777777">
        <w:trPr>
          <w:trHeight w:val="1428"/>
          <w:jc w:val="center"/>
        </w:trPr>
        <w:tc>
          <w:tcPr>
            <w:tcW w:w="708" w:type="dxa"/>
            <w:vAlign w:val="center"/>
          </w:tcPr>
          <w:p w14:paraId="67554320"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276" w:type="dxa"/>
            <w:vMerge/>
            <w:vAlign w:val="center"/>
          </w:tcPr>
          <w:p w14:paraId="4CFD1D48"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25593A4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6B1CCD6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4B015AB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E02C8A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D6AE629" w14:textId="77777777">
        <w:trPr>
          <w:trHeight w:val="996"/>
          <w:jc w:val="center"/>
        </w:trPr>
        <w:tc>
          <w:tcPr>
            <w:tcW w:w="708" w:type="dxa"/>
            <w:vAlign w:val="center"/>
          </w:tcPr>
          <w:p w14:paraId="2D88F74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14:paraId="7A8418E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38BBCD7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17C5A0E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13BA7585"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33B1A3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E425550" w14:textId="77777777">
        <w:trPr>
          <w:trHeight w:val="1237"/>
          <w:jc w:val="center"/>
        </w:trPr>
        <w:tc>
          <w:tcPr>
            <w:tcW w:w="708" w:type="dxa"/>
            <w:vAlign w:val="center"/>
          </w:tcPr>
          <w:p w14:paraId="490C95B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14:paraId="02D8CA7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1DB7B5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6C18739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）进行化学和高温实验时，慎戴隐形眼镜。</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0117E37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C7E244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C30B3C2" w14:textId="77777777">
        <w:trPr>
          <w:trHeight w:val="1530"/>
          <w:jc w:val="center"/>
        </w:trPr>
        <w:tc>
          <w:tcPr>
            <w:tcW w:w="708" w:type="dxa"/>
            <w:vAlign w:val="center"/>
          </w:tcPr>
          <w:p w14:paraId="31CFD92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14:paraId="0DC9C14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085EB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2C2571F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3392A78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C322E8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6C6F4F3" w14:textId="77777777">
        <w:trPr>
          <w:trHeight w:val="381"/>
          <w:jc w:val="center"/>
        </w:trPr>
        <w:tc>
          <w:tcPr>
            <w:tcW w:w="708" w:type="dxa"/>
            <w:vAlign w:val="center"/>
          </w:tcPr>
          <w:p w14:paraId="036CFFD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8</w:t>
            </w:r>
          </w:p>
        </w:tc>
        <w:tc>
          <w:tcPr>
            <w:tcW w:w="1276" w:type="dxa"/>
            <w:vMerge/>
            <w:vAlign w:val="center"/>
          </w:tcPr>
          <w:p w14:paraId="079F468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4607837"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03F0960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3FB9097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AC585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6F023DB" w14:textId="77777777">
        <w:trPr>
          <w:trHeight w:val="1420"/>
          <w:jc w:val="center"/>
        </w:trPr>
        <w:tc>
          <w:tcPr>
            <w:tcW w:w="708" w:type="dxa"/>
            <w:vAlign w:val="center"/>
          </w:tcPr>
          <w:p w14:paraId="59AFF03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14:paraId="4D9F0A9A"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9669E9E"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20E00A1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4DEFBD0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1341AA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73B57E9" w14:textId="77777777">
        <w:trPr>
          <w:trHeight w:val="1832"/>
          <w:jc w:val="center"/>
        </w:trPr>
        <w:tc>
          <w:tcPr>
            <w:tcW w:w="708" w:type="dxa"/>
            <w:vAlign w:val="center"/>
          </w:tcPr>
          <w:p w14:paraId="059C6D9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14:paraId="5D240CEB"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14:paraId="4B108AE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54ACCF1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bookmarkStart w:id="0" w:name="OLE_LINK1"/>
            <w:r>
              <w:rPr>
                <w:rStyle w:val="font41"/>
                <w:rFonts w:hAnsi="宋体" w:hint="default"/>
                <w:sz w:val="21"/>
                <w:szCs w:val="21"/>
                <w:lang w:bidi="ar"/>
              </w:rPr>
              <w:t>气体（气瓶）存放点须通风、远离热源、避免暴晒，地面平整干燥</w:t>
            </w:r>
            <w:bookmarkEnd w:id="0"/>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0490F6F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85F9DF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2DC043A" w14:textId="77777777">
        <w:trPr>
          <w:trHeight w:val="90"/>
          <w:jc w:val="center"/>
        </w:trPr>
        <w:tc>
          <w:tcPr>
            <w:tcW w:w="708" w:type="dxa"/>
            <w:vAlign w:val="center"/>
          </w:tcPr>
          <w:p w14:paraId="5AA836F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14:paraId="0250CFB0"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13C4A62"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30FE7B5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2DCE1B4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6FA7EB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E334A2D" w14:textId="77777777">
        <w:trPr>
          <w:trHeight w:val="634"/>
          <w:jc w:val="center"/>
        </w:trPr>
        <w:tc>
          <w:tcPr>
            <w:tcW w:w="708" w:type="dxa"/>
            <w:vAlign w:val="center"/>
          </w:tcPr>
          <w:p w14:paraId="2D9B056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14:paraId="2F2C171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97DB34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有毒气体泄漏可能导致人员急性中毒；惰性气体或窒息性气体（如氮气、氩气、液氮）在密闭空间大量泄漏会置换氧气，导致人员缺氧窒息。</w:t>
            </w:r>
          </w:p>
        </w:tc>
        <w:tc>
          <w:tcPr>
            <w:tcW w:w="6237" w:type="dxa"/>
            <w:vAlign w:val="center"/>
          </w:tcPr>
          <w:p w14:paraId="76547FC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22B75B06"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F2BCBB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19972AD" w14:textId="77777777">
        <w:trPr>
          <w:trHeight w:val="488"/>
          <w:jc w:val="center"/>
        </w:trPr>
        <w:tc>
          <w:tcPr>
            <w:tcW w:w="708" w:type="dxa"/>
            <w:vAlign w:val="center"/>
          </w:tcPr>
          <w:p w14:paraId="10B195C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14:paraId="07CB259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76E043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72A3D30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11E447E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DA65861"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7795C0A" w14:textId="77777777">
        <w:trPr>
          <w:trHeight w:val="1396"/>
          <w:jc w:val="center"/>
        </w:trPr>
        <w:tc>
          <w:tcPr>
            <w:tcW w:w="708" w:type="dxa"/>
            <w:vAlign w:val="center"/>
          </w:tcPr>
          <w:p w14:paraId="26D1575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14:paraId="4810DEF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A46068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7B74C18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493248FD"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926FB0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CF4EF6E" w14:textId="77777777">
        <w:trPr>
          <w:trHeight w:val="20"/>
          <w:jc w:val="center"/>
        </w:trPr>
        <w:tc>
          <w:tcPr>
            <w:tcW w:w="708" w:type="dxa"/>
            <w:vAlign w:val="center"/>
          </w:tcPr>
          <w:p w14:paraId="65CCC85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14:paraId="7C2DBFB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220A5B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398286B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）管路材质选择合适，无破损或老化现象，连接处须有效加固并定期进行气密性检查。</w:t>
            </w:r>
          </w:p>
        </w:tc>
        <w:tc>
          <w:tcPr>
            <w:tcW w:w="1985" w:type="dxa"/>
            <w:vAlign w:val="center"/>
          </w:tcPr>
          <w:p w14:paraId="5F780D6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BA6115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2E3C749" w14:textId="77777777">
        <w:trPr>
          <w:trHeight w:val="1981"/>
          <w:jc w:val="center"/>
        </w:trPr>
        <w:tc>
          <w:tcPr>
            <w:tcW w:w="708" w:type="dxa"/>
            <w:vAlign w:val="center"/>
          </w:tcPr>
          <w:p w14:paraId="6B92363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14:paraId="63369AF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14:paraId="40E4F95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2B3E23C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）操作高速离心机时防止离心管破损或盖子破裂造成溢洒或气溶胶扩散。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09EF1A01"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4C55F3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976BC6D" w14:textId="77777777">
        <w:trPr>
          <w:trHeight w:val="451"/>
          <w:jc w:val="center"/>
        </w:trPr>
        <w:tc>
          <w:tcPr>
            <w:tcW w:w="708" w:type="dxa"/>
            <w:vAlign w:val="center"/>
          </w:tcPr>
          <w:p w14:paraId="4760F55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14:paraId="6DB1D350"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A049EC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7E4CBFF6"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616D47F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6F860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34D7617" w14:textId="77777777">
        <w:trPr>
          <w:trHeight w:val="2104"/>
          <w:jc w:val="center"/>
        </w:trPr>
        <w:tc>
          <w:tcPr>
            <w:tcW w:w="708" w:type="dxa"/>
            <w:vAlign w:val="center"/>
          </w:tcPr>
          <w:p w14:paraId="4B27664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1276" w:type="dxa"/>
            <w:vMerge/>
            <w:vAlign w:val="center"/>
          </w:tcPr>
          <w:p w14:paraId="418CADD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CF582A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01A1CB9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370CE71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509C81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0A2CDED" w14:textId="77777777">
        <w:trPr>
          <w:trHeight w:val="1396"/>
          <w:jc w:val="center"/>
        </w:trPr>
        <w:tc>
          <w:tcPr>
            <w:tcW w:w="708" w:type="dxa"/>
            <w:vAlign w:val="center"/>
          </w:tcPr>
          <w:p w14:paraId="2DB82D7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276" w:type="dxa"/>
            <w:vMerge/>
            <w:vAlign w:val="center"/>
          </w:tcPr>
          <w:p w14:paraId="0DB60C2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FCCB5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4C10E77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）尖锐物应使用利器盒或耐扎纸板箱盛放。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3F8DE3C1"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1673D2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B439296" w14:textId="77777777">
        <w:trPr>
          <w:trHeight w:val="1364"/>
          <w:jc w:val="center"/>
        </w:trPr>
        <w:tc>
          <w:tcPr>
            <w:tcW w:w="708" w:type="dxa"/>
            <w:vAlign w:val="center"/>
          </w:tcPr>
          <w:p w14:paraId="70C2CA1F"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14:paraId="7BD0FCF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85C41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未经政府部门批准或备案，在不符合等级要求的实验室开展病原微生物实验；使用高致病性病原微生物菌（毒）种未办理相应申请和报批手续。</w:t>
            </w:r>
          </w:p>
        </w:tc>
        <w:tc>
          <w:tcPr>
            <w:tcW w:w="6237" w:type="dxa"/>
            <w:vAlign w:val="center"/>
          </w:tcPr>
          <w:p w14:paraId="75C03B8F"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）合规获取病原微生物菌（毒）株，学校应有审批流程。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6AB9C64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3F93A6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12027A0" w14:textId="77777777">
        <w:trPr>
          <w:trHeight w:val="443"/>
          <w:jc w:val="center"/>
        </w:trPr>
        <w:tc>
          <w:tcPr>
            <w:tcW w:w="708" w:type="dxa"/>
            <w:vAlign w:val="center"/>
          </w:tcPr>
          <w:p w14:paraId="2A5B4B7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14:paraId="0B6A5525"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951222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0898882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5EAC841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B54D94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0F138D6" w14:textId="77777777">
        <w:trPr>
          <w:trHeight w:val="1121"/>
          <w:jc w:val="center"/>
        </w:trPr>
        <w:tc>
          <w:tcPr>
            <w:tcW w:w="708" w:type="dxa"/>
            <w:vAlign w:val="center"/>
          </w:tcPr>
          <w:p w14:paraId="699CECC1"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14:paraId="44339AD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AC7946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25940D2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3BC968A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8C1E16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21F791C" w14:textId="77777777">
        <w:trPr>
          <w:trHeight w:val="2181"/>
          <w:jc w:val="center"/>
        </w:trPr>
        <w:tc>
          <w:tcPr>
            <w:tcW w:w="708" w:type="dxa"/>
            <w:vAlign w:val="center"/>
          </w:tcPr>
          <w:p w14:paraId="411E2C5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14:paraId="3D9864E5"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14:paraId="1A636F39"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73AEA2D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0DAAEB3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10EDC1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76F7C35" w14:textId="77777777">
        <w:trPr>
          <w:trHeight w:val="1112"/>
          <w:jc w:val="center"/>
        </w:trPr>
        <w:tc>
          <w:tcPr>
            <w:tcW w:w="708" w:type="dxa"/>
            <w:vAlign w:val="center"/>
          </w:tcPr>
          <w:p w14:paraId="6C761E1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14:paraId="0A6CEF9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300CF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1E6DE71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7946961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3F920E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3F98953" w14:textId="77777777">
        <w:trPr>
          <w:trHeight w:val="551"/>
          <w:jc w:val="center"/>
        </w:trPr>
        <w:tc>
          <w:tcPr>
            <w:tcW w:w="708" w:type="dxa"/>
            <w:vAlign w:val="center"/>
          </w:tcPr>
          <w:p w14:paraId="7AFCCBA0"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14:paraId="4F1CB92D"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BF8DD86"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35571FEB"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6A7043B9"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FE309B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860CD84" w14:textId="77777777">
        <w:trPr>
          <w:trHeight w:val="625"/>
          <w:jc w:val="center"/>
        </w:trPr>
        <w:tc>
          <w:tcPr>
            <w:tcW w:w="708" w:type="dxa"/>
            <w:vAlign w:val="center"/>
          </w:tcPr>
          <w:p w14:paraId="4716241F"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26</w:t>
            </w:r>
          </w:p>
        </w:tc>
        <w:tc>
          <w:tcPr>
            <w:tcW w:w="1276" w:type="dxa"/>
            <w:vMerge/>
            <w:vAlign w:val="center"/>
          </w:tcPr>
          <w:p w14:paraId="3774938D"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E4D5D5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4902B9A2"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08984C5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5B4E92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D696CAD" w14:textId="77777777">
        <w:trPr>
          <w:trHeight w:val="1929"/>
          <w:jc w:val="center"/>
        </w:trPr>
        <w:tc>
          <w:tcPr>
            <w:tcW w:w="708" w:type="dxa"/>
            <w:vAlign w:val="center"/>
          </w:tcPr>
          <w:p w14:paraId="54B906B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14:paraId="5943521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6B09A9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未取得辐射安全许可证即开展辐射工作；辐射工作人员未经过专门培训考核，未定期参加职业体检；未按规定佩戴个人剂量计，或剂量计未按时送检。</w:t>
            </w:r>
          </w:p>
        </w:tc>
        <w:tc>
          <w:tcPr>
            <w:tcW w:w="6237" w:type="dxa"/>
            <w:vAlign w:val="center"/>
          </w:tcPr>
          <w:p w14:paraId="4026633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1BB9648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3252CC03"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9070115" w14:textId="77777777">
        <w:trPr>
          <w:trHeight w:val="230"/>
          <w:jc w:val="center"/>
        </w:trPr>
        <w:tc>
          <w:tcPr>
            <w:tcW w:w="708" w:type="dxa"/>
            <w:vAlign w:val="center"/>
          </w:tcPr>
          <w:p w14:paraId="407AFDAB"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14:paraId="4962544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C47E26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CC4CB7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）配置专门的放射性废物收集桶，放射性废液送贮前应进行固化整备。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）排放气态或液态放射性流出物应严格按照环评批准的方式执行。</w:t>
            </w:r>
          </w:p>
        </w:tc>
        <w:tc>
          <w:tcPr>
            <w:tcW w:w="1985" w:type="dxa"/>
            <w:vAlign w:val="center"/>
          </w:tcPr>
          <w:p w14:paraId="34BDF2AA"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6132F3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79A434A" w14:textId="77777777">
        <w:trPr>
          <w:trHeight w:val="423"/>
          <w:jc w:val="center"/>
        </w:trPr>
        <w:tc>
          <w:tcPr>
            <w:tcW w:w="708" w:type="dxa"/>
            <w:vAlign w:val="center"/>
          </w:tcPr>
          <w:p w14:paraId="7CC17424"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14:paraId="24919067"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F5D74B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无辐射事故应急预案或未进行演练；放射源及设备报废时无符合国家规定的处置方案或回收协议；涉源实验场所退役未按国家规定执行。</w:t>
            </w:r>
          </w:p>
        </w:tc>
        <w:tc>
          <w:tcPr>
            <w:tcW w:w="6237" w:type="dxa"/>
            <w:vAlign w:val="center"/>
          </w:tcPr>
          <w:p w14:paraId="3F5289C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）中、长半衰期核素固液废物有符合国家规定的处置方案或回收协议。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）涉源实验场所退役，须按国家相关规定执行。</w:t>
            </w:r>
          </w:p>
        </w:tc>
        <w:tc>
          <w:tcPr>
            <w:tcW w:w="1985" w:type="dxa"/>
            <w:vAlign w:val="center"/>
          </w:tcPr>
          <w:p w14:paraId="5C7BC13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2AFA6A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4AD2D62" w14:textId="77777777">
        <w:trPr>
          <w:trHeight w:val="1018"/>
          <w:jc w:val="center"/>
        </w:trPr>
        <w:tc>
          <w:tcPr>
            <w:tcW w:w="708" w:type="dxa"/>
            <w:vAlign w:val="center"/>
          </w:tcPr>
          <w:p w14:paraId="7414652A"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30</w:t>
            </w:r>
          </w:p>
        </w:tc>
        <w:tc>
          <w:tcPr>
            <w:tcW w:w="1276" w:type="dxa"/>
            <w:vMerge w:val="restart"/>
            <w:vAlign w:val="center"/>
          </w:tcPr>
          <w:p w14:paraId="4D7A030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14:paraId="5CD4013B"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4C4029C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548F55A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9D53DB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6A230CE" w14:textId="77777777">
        <w:trPr>
          <w:trHeight w:val="715"/>
          <w:jc w:val="center"/>
        </w:trPr>
        <w:tc>
          <w:tcPr>
            <w:tcW w:w="708" w:type="dxa"/>
            <w:vAlign w:val="center"/>
          </w:tcPr>
          <w:p w14:paraId="22B2E04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14:paraId="43527E7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ECAC5C4"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5411D9E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4BE23E4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17AFF55"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4C54FA7" w14:textId="77777777">
        <w:trPr>
          <w:trHeight w:val="734"/>
          <w:jc w:val="center"/>
        </w:trPr>
        <w:tc>
          <w:tcPr>
            <w:tcW w:w="708" w:type="dxa"/>
            <w:vAlign w:val="center"/>
          </w:tcPr>
          <w:p w14:paraId="373708E8"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14:paraId="555D7D5A"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7E9ED41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2E3A5902"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0F756A7C"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682D8D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57AB467D" w14:textId="77777777">
        <w:trPr>
          <w:trHeight w:val="1485"/>
          <w:jc w:val="center"/>
        </w:trPr>
        <w:tc>
          <w:tcPr>
            <w:tcW w:w="708" w:type="dxa"/>
            <w:vAlign w:val="center"/>
          </w:tcPr>
          <w:p w14:paraId="208D7F34"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14:paraId="6F55B6F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6583F9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428BC65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）使用加热设备时，温度较高的实验须有人值守或有实时监控措施。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0744CC9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568FC7D"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3AB5E6F" w14:textId="77777777">
        <w:trPr>
          <w:trHeight w:val="65"/>
          <w:jc w:val="center"/>
        </w:trPr>
        <w:tc>
          <w:tcPr>
            <w:tcW w:w="708" w:type="dxa"/>
            <w:vAlign w:val="center"/>
          </w:tcPr>
          <w:p w14:paraId="60BC05A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14:paraId="28317BC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D6696A1"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33AD5257"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）烘箱、电阻炉不超期使用，如超期使用须经审批。</w:t>
            </w:r>
          </w:p>
        </w:tc>
        <w:tc>
          <w:tcPr>
            <w:tcW w:w="1985" w:type="dxa"/>
            <w:vAlign w:val="center"/>
          </w:tcPr>
          <w:p w14:paraId="1B3CA1C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0016544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CB0320A" w14:textId="77777777">
        <w:trPr>
          <w:trHeight w:val="1963"/>
          <w:jc w:val="center"/>
        </w:trPr>
        <w:tc>
          <w:tcPr>
            <w:tcW w:w="708" w:type="dxa"/>
            <w:vAlign w:val="center"/>
          </w:tcPr>
          <w:p w14:paraId="1052CF3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35</w:t>
            </w:r>
          </w:p>
        </w:tc>
        <w:tc>
          <w:tcPr>
            <w:tcW w:w="1276" w:type="dxa"/>
            <w:vMerge w:val="restart"/>
            <w:vAlign w:val="center"/>
          </w:tcPr>
          <w:p w14:paraId="53E396FE"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14:paraId="5D246257"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57DD9C2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）贮存危险化学品的冰箱应为防爆冰箱或经过防爆改造，并在冰箱门上注明是否防爆。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6BBCDB0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72CCC8E"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18B2E09" w14:textId="77777777">
        <w:trPr>
          <w:trHeight w:val="533"/>
          <w:jc w:val="center"/>
        </w:trPr>
        <w:tc>
          <w:tcPr>
            <w:tcW w:w="708" w:type="dxa"/>
            <w:vAlign w:val="center"/>
          </w:tcPr>
          <w:p w14:paraId="2E7C63E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14:paraId="75126112"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D22F7E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218D6F9A"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49FF252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5C408069"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EC99365" w14:textId="77777777">
        <w:trPr>
          <w:trHeight w:val="1035"/>
          <w:jc w:val="center"/>
        </w:trPr>
        <w:tc>
          <w:tcPr>
            <w:tcW w:w="708" w:type="dxa"/>
            <w:vAlign w:val="center"/>
          </w:tcPr>
          <w:p w14:paraId="4371ECB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14:paraId="0492A2A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8761A9D"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使用液氮、液氩等液化气体在密闭或通风不良的小空间内大量泄漏，会迅速气化，置换空气中的氧气，导致人员缺氧窒息。</w:t>
            </w:r>
          </w:p>
        </w:tc>
        <w:tc>
          <w:tcPr>
            <w:tcW w:w="6237" w:type="dxa"/>
            <w:vAlign w:val="center"/>
          </w:tcPr>
          <w:p w14:paraId="35E7B2E1"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14C64446"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535DF7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EDC533B" w14:textId="77777777">
        <w:trPr>
          <w:trHeight w:val="915"/>
          <w:jc w:val="center"/>
        </w:trPr>
        <w:tc>
          <w:tcPr>
            <w:tcW w:w="708" w:type="dxa"/>
            <w:vAlign w:val="center"/>
          </w:tcPr>
          <w:p w14:paraId="26285D03"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14:paraId="75851554"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D901E2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6CE22BC3"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）冰箱不超期使用，如超期使用须经审批。</w:t>
            </w:r>
          </w:p>
        </w:tc>
        <w:tc>
          <w:tcPr>
            <w:tcW w:w="1985" w:type="dxa"/>
            <w:vAlign w:val="center"/>
          </w:tcPr>
          <w:p w14:paraId="3BB5D75E"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A1410FB"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853F816" w14:textId="77777777">
        <w:trPr>
          <w:trHeight w:val="120"/>
          <w:jc w:val="center"/>
        </w:trPr>
        <w:tc>
          <w:tcPr>
            <w:tcW w:w="708" w:type="dxa"/>
            <w:vAlign w:val="center"/>
          </w:tcPr>
          <w:p w14:paraId="65720DC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14:paraId="63872AD6"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53833FA3"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6D2D3FA1"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7BEF0782"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1C00088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2F26EDF" w14:textId="77777777">
        <w:trPr>
          <w:trHeight w:val="994"/>
          <w:jc w:val="center"/>
        </w:trPr>
        <w:tc>
          <w:tcPr>
            <w:tcW w:w="708" w:type="dxa"/>
            <w:vAlign w:val="center"/>
          </w:tcPr>
          <w:p w14:paraId="5861440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40</w:t>
            </w:r>
          </w:p>
        </w:tc>
        <w:tc>
          <w:tcPr>
            <w:tcW w:w="1276" w:type="dxa"/>
            <w:vMerge/>
            <w:vAlign w:val="center"/>
          </w:tcPr>
          <w:p w14:paraId="267C7B52"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093AF0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超低温冰箱门上无储物分区标识，影响查找和整理。</w:t>
            </w:r>
          </w:p>
        </w:tc>
        <w:tc>
          <w:tcPr>
            <w:tcW w:w="6237" w:type="dxa"/>
            <w:vAlign w:val="center"/>
          </w:tcPr>
          <w:p w14:paraId="0CAED998"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2ADE5038"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DB8506F"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86734A7" w14:textId="77777777">
        <w:trPr>
          <w:trHeight w:val="1080"/>
          <w:jc w:val="center"/>
        </w:trPr>
        <w:tc>
          <w:tcPr>
            <w:tcW w:w="708" w:type="dxa"/>
            <w:vAlign w:val="center"/>
          </w:tcPr>
          <w:p w14:paraId="79940B7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14:paraId="3F89E09A"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14:paraId="277A494A"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195A717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3DBF3340"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B1DFC5C"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4E60606D" w14:textId="77777777">
        <w:trPr>
          <w:trHeight w:val="1248"/>
          <w:jc w:val="center"/>
        </w:trPr>
        <w:tc>
          <w:tcPr>
            <w:tcW w:w="708" w:type="dxa"/>
            <w:vAlign w:val="center"/>
          </w:tcPr>
          <w:p w14:paraId="2A5BE5C7"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14:paraId="228AC78E"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41165845"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快开门式压力容器（如灭菌锅）在门未完全关闭或锁紧的情况下升压，或压力未降至常压时开门，极易发生爆炸事故。</w:t>
            </w:r>
          </w:p>
        </w:tc>
        <w:tc>
          <w:tcPr>
            <w:tcW w:w="6237" w:type="dxa"/>
            <w:vAlign w:val="center"/>
          </w:tcPr>
          <w:p w14:paraId="11452610"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1）快开门式压力容器操作人员应取得相应的特种设备作业人员证，持证上岗。</w:t>
            </w:r>
          </w:p>
        </w:tc>
        <w:tc>
          <w:tcPr>
            <w:tcW w:w="1985" w:type="dxa"/>
            <w:vAlign w:val="center"/>
          </w:tcPr>
          <w:p w14:paraId="24D1E2DF"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22F93B3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67F613C2" w14:textId="77777777">
        <w:trPr>
          <w:trHeight w:val="756"/>
          <w:jc w:val="center"/>
        </w:trPr>
        <w:tc>
          <w:tcPr>
            <w:tcW w:w="708" w:type="dxa"/>
            <w:vAlign w:val="center"/>
          </w:tcPr>
          <w:p w14:paraId="62601415"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14:paraId="1AEF4558"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8440108"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13E8755D"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57EB2203"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284B3E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CEA9B49" w14:textId="77777777">
        <w:trPr>
          <w:trHeight w:val="576"/>
          <w:jc w:val="center"/>
        </w:trPr>
        <w:tc>
          <w:tcPr>
            <w:tcW w:w="708" w:type="dxa"/>
            <w:vAlign w:val="center"/>
          </w:tcPr>
          <w:p w14:paraId="6660E2E6"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14:paraId="2DED8133"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0B824DB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20ECCE5C"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37B56794"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45536F88"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263AD232" w14:textId="77777777">
        <w:trPr>
          <w:trHeight w:val="1112"/>
          <w:jc w:val="center"/>
        </w:trPr>
        <w:tc>
          <w:tcPr>
            <w:tcW w:w="708" w:type="dxa"/>
            <w:vAlign w:val="center"/>
          </w:tcPr>
          <w:p w14:paraId="3F54020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45</w:t>
            </w:r>
          </w:p>
        </w:tc>
        <w:tc>
          <w:tcPr>
            <w:tcW w:w="1276" w:type="dxa"/>
            <w:vMerge/>
            <w:vAlign w:val="center"/>
          </w:tcPr>
          <w:p w14:paraId="14DFB851"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65AEBE1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7BC02B55"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164B630D"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6523B746"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08170B26" w14:textId="77777777">
        <w:trPr>
          <w:trHeight w:val="88"/>
          <w:jc w:val="center"/>
        </w:trPr>
        <w:tc>
          <w:tcPr>
            <w:tcW w:w="708" w:type="dxa"/>
            <w:vAlign w:val="center"/>
          </w:tcPr>
          <w:p w14:paraId="399E92DE"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14:paraId="13752C29"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112BEEC0"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5D72E4A9"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1BBB07FB" w14:textId="77777777" w:rsidR="00400A2F" w:rsidRDefault="00400A2F">
            <w:pPr>
              <w:widowControl/>
              <w:spacing w:after="0" w:line="260" w:lineRule="exact"/>
              <w:jc w:val="center"/>
              <w:rPr>
                <w:rFonts w:ascii="Times New Roman" w:eastAsia="仿宋" w:hAnsi="Times New Roman" w:cs="Times New Roman"/>
                <w:sz w:val="21"/>
                <w:szCs w:val="21"/>
              </w:rPr>
            </w:pPr>
          </w:p>
        </w:tc>
        <w:tc>
          <w:tcPr>
            <w:tcW w:w="1985" w:type="dxa"/>
            <w:vAlign w:val="center"/>
          </w:tcPr>
          <w:p w14:paraId="712DE0D4"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3B59E0A7" w14:textId="77777777">
        <w:trPr>
          <w:trHeight w:val="2420"/>
          <w:jc w:val="center"/>
        </w:trPr>
        <w:tc>
          <w:tcPr>
            <w:tcW w:w="708" w:type="dxa"/>
            <w:vAlign w:val="center"/>
          </w:tcPr>
          <w:p w14:paraId="77135418"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14:paraId="3B8E0BC3"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14:paraId="5366192C"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0EE084F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5659418E" w14:textId="77777777" w:rsidR="00400A2F" w:rsidRDefault="00400A2F">
            <w:pPr>
              <w:widowControl/>
              <w:spacing w:after="0" w:line="260" w:lineRule="exact"/>
              <w:jc w:val="both"/>
              <w:rPr>
                <w:rFonts w:ascii="Times New Roman" w:eastAsia="仿宋" w:hAnsi="Times New Roman" w:cs="Times New Roman"/>
                <w:sz w:val="21"/>
                <w:szCs w:val="21"/>
              </w:rPr>
            </w:pPr>
          </w:p>
        </w:tc>
        <w:tc>
          <w:tcPr>
            <w:tcW w:w="1985" w:type="dxa"/>
            <w:vAlign w:val="center"/>
          </w:tcPr>
          <w:p w14:paraId="3934D847"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197D5D7A" w14:textId="77777777">
        <w:trPr>
          <w:trHeight w:val="3605"/>
          <w:jc w:val="center"/>
        </w:trPr>
        <w:tc>
          <w:tcPr>
            <w:tcW w:w="708" w:type="dxa"/>
            <w:vAlign w:val="center"/>
          </w:tcPr>
          <w:p w14:paraId="020C3DBD"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48</w:t>
            </w:r>
          </w:p>
        </w:tc>
        <w:tc>
          <w:tcPr>
            <w:tcW w:w="1276" w:type="dxa"/>
            <w:vMerge/>
            <w:vAlign w:val="center"/>
          </w:tcPr>
          <w:p w14:paraId="2AA931AF" w14:textId="77777777" w:rsidR="00400A2F" w:rsidRDefault="00400A2F">
            <w:pPr>
              <w:spacing w:after="0" w:line="260" w:lineRule="exact"/>
              <w:jc w:val="both"/>
              <w:rPr>
                <w:rFonts w:ascii="Times New Roman" w:eastAsia="仿宋" w:hAnsi="Times New Roman" w:cs="Times New Roman"/>
                <w:sz w:val="21"/>
                <w:szCs w:val="21"/>
              </w:rPr>
            </w:pPr>
          </w:p>
        </w:tc>
        <w:tc>
          <w:tcPr>
            <w:tcW w:w="2551" w:type="dxa"/>
            <w:vAlign w:val="center"/>
          </w:tcPr>
          <w:p w14:paraId="37E3DEFE" w14:textId="77777777" w:rsidR="00400A2F" w:rsidRDefault="0047315A">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3BEE8DA4" w14:textId="77777777" w:rsidR="00400A2F" w:rsidRDefault="0047315A">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）非标自制设备应经安全论证合格后方可使用，须充分考虑安全系数，并有安全防护措施。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49BC9E79" w14:textId="77777777" w:rsidR="00400A2F" w:rsidRDefault="00400A2F">
            <w:pPr>
              <w:widowControl/>
              <w:spacing w:after="0" w:line="260" w:lineRule="exact"/>
              <w:jc w:val="both"/>
              <w:rPr>
                <w:rFonts w:ascii="Times New Roman" w:eastAsia="仿宋" w:hAnsi="Times New Roman" w:cs="Times New Roman"/>
                <w:sz w:val="21"/>
                <w:szCs w:val="21"/>
              </w:rPr>
            </w:pPr>
          </w:p>
        </w:tc>
        <w:tc>
          <w:tcPr>
            <w:tcW w:w="1985" w:type="dxa"/>
            <w:vAlign w:val="center"/>
          </w:tcPr>
          <w:p w14:paraId="64187640" w14:textId="77777777" w:rsidR="00400A2F" w:rsidRDefault="00400A2F">
            <w:pPr>
              <w:widowControl/>
              <w:spacing w:after="0" w:line="260" w:lineRule="exact"/>
              <w:rPr>
                <w:rFonts w:ascii="Times New Roman" w:eastAsia="仿宋" w:hAnsi="Times New Roman" w:cs="Times New Roman"/>
                <w:sz w:val="21"/>
                <w:szCs w:val="21"/>
              </w:rPr>
            </w:pPr>
          </w:p>
        </w:tc>
      </w:tr>
      <w:tr w:rsidR="00400A2F" w14:paraId="789AE60D" w14:textId="77777777">
        <w:trPr>
          <w:trHeight w:val="765"/>
          <w:jc w:val="center"/>
        </w:trPr>
        <w:tc>
          <w:tcPr>
            <w:tcW w:w="708" w:type="dxa"/>
          </w:tcPr>
          <w:p w14:paraId="7977DE32" w14:textId="77777777" w:rsidR="00400A2F" w:rsidRDefault="0047315A">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4034" w:type="dxa"/>
            <w:gridSpan w:val="5"/>
            <w:vAlign w:val="center"/>
          </w:tcPr>
          <w:p w14:paraId="06940BF2" w14:textId="77777777" w:rsidR="00400A2F" w:rsidRDefault="0047315A">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r>
              <w:rPr>
                <w:rFonts w:ascii="Times New Roman" w:eastAsia="仿宋" w:hAnsi="Times New Roman" w:cs="Times New Roman"/>
                <w:sz w:val="21"/>
                <w:szCs w:val="21"/>
              </w:rPr>
              <w:t>个风险点，已经处置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69788831" w14:textId="77777777" w:rsidR="00400A2F" w:rsidRDefault="0047315A">
      <w:pPr>
        <w:spacing w:after="0" w:line="240" w:lineRule="auto"/>
        <w:jc w:val="center"/>
        <w:rPr>
          <w:rFonts w:ascii="仿宋" w:eastAsia="仿宋" w:hAnsi="仿宋" w:hint="eastAsia"/>
          <w:sz w:val="21"/>
          <w:szCs w:val="21"/>
        </w:rPr>
      </w:pPr>
      <w:r>
        <w:rPr>
          <w:rFonts w:ascii="仿宋" w:eastAsia="仿宋" w:hAnsi="仿宋"/>
          <w:sz w:val="21"/>
          <w:szCs w:val="21"/>
        </w:rPr>
        <w:t>备注：如本清单未覆盖高校排查发现的风险，请自行加行列出。</w:t>
      </w:r>
    </w:p>
    <w:sectPr w:rsidR="00400A2F">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4F59" w14:textId="77777777" w:rsidR="00CC6D97" w:rsidRDefault="00CC6D97">
      <w:pPr>
        <w:spacing w:line="240" w:lineRule="auto"/>
        <w:rPr>
          <w:rFonts w:hint="eastAsia"/>
        </w:rPr>
      </w:pPr>
      <w:r>
        <w:separator/>
      </w:r>
    </w:p>
  </w:endnote>
  <w:endnote w:type="continuationSeparator" w:id="0">
    <w:p w14:paraId="6EE25AF7" w14:textId="77777777" w:rsidR="00CC6D97" w:rsidRDefault="00CC6D9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78137655"/>
    </w:sdtPr>
    <w:sdtContent>
      <w:p w14:paraId="539DDCA3" w14:textId="77777777" w:rsidR="00400A2F" w:rsidRDefault="0047315A">
        <w:pPr>
          <w:pStyle w:val="a3"/>
          <w:framePr w:wrap="auto" w:vAnchor="text" w:hAnchor="margin" w:xAlign="center" w:y="1"/>
          <w:rPr>
            <w:rStyle w:val="ac"/>
            <w:rFonts w:hint="eastAsia"/>
          </w:rPr>
        </w:pPr>
        <w:r>
          <w:rPr>
            <w:rStyle w:val="ac"/>
          </w:rPr>
          <w:fldChar w:fldCharType="begin"/>
        </w:r>
        <w:r>
          <w:rPr>
            <w:rStyle w:val="ac"/>
          </w:rPr>
          <w:instrText xml:space="preserve"> PAGE </w:instrText>
        </w:r>
        <w:r>
          <w:rPr>
            <w:rStyle w:val="ac"/>
            <w:rFonts w:hint="eastAsia"/>
          </w:rPr>
          <w:fldChar w:fldCharType="separate"/>
        </w:r>
        <w:r>
          <w:rPr>
            <w:rStyle w:val="ac"/>
          </w:rPr>
          <w:fldChar w:fldCharType="end"/>
        </w:r>
      </w:p>
    </w:sdtContent>
  </w:sdt>
  <w:p w14:paraId="6A264C61" w14:textId="77777777" w:rsidR="00400A2F" w:rsidRDefault="00400A2F">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C7E9" w14:textId="77777777" w:rsidR="00400A2F" w:rsidRDefault="0047315A">
    <w:pPr>
      <w:pStyle w:val="a3"/>
      <w:spacing w:after="0"/>
      <w:rPr>
        <w:rFonts w:hint="eastAsia"/>
      </w:rPr>
    </w:pPr>
    <w:r>
      <w:rPr>
        <w:noProof/>
      </w:rPr>
      <mc:AlternateContent>
        <mc:Choice Requires="wps">
          <w:drawing>
            <wp:anchor distT="0" distB="0" distL="114300" distR="114300" simplePos="0" relativeHeight="251659264" behindDoc="0" locked="0" layoutInCell="1" allowOverlap="1" wp14:anchorId="08BFD759" wp14:editId="42B518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5FF90" w14:textId="77777777" w:rsidR="00400A2F" w:rsidRDefault="0047315A">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BFD75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885FF90" w14:textId="77777777" w:rsidR="00400A2F" w:rsidRDefault="0047315A">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A197" w14:textId="77777777" w:rsidR="00CC6D97" w:rsidRDefault="00CC6D97">
      <w:pPr>
        <w:spacing w:after="0"/>
        <w:rPr>
          <w:rFonts w:hint="eastAsia"/>
        </w:rPr>
      </w:pPr>
      <w:r>
        <w:separator/>
      </w:r>
    </w:p>
  </w:footnote>
  <w:footnote w:type="continuationSeparator" w:id="0">
    <w:p w14:paraId="17FF6E1B" w14:textId="77777777" w:rsidR="00CC6D97" w:rsidRDefault="00CC6D97">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00243921"/>
    <w:rsid w:val="00354B08"/>
    <w:rsid w:val="00400A2F"/>
    <w:rsid w:val="0047315A"/>
    <w:rsid w:val="00633ED4"/>
    <w:rsid w:val="00766977"/>
    <w:rsid w:val="008E5631"/>
    <w:rsid w:val="00A6675B"/>
    <w:rsid w:val="00B22B71"/>
    <w:rsid w:val="00BC4EC5"/>
    <w:rsid w:val="00CC6D97"/>
    <w:rsid w:val="00EC44A7"/>
    <w:rsid w:val="00F0705A"/>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3B9C"/>
  <w15:docId w15:val="{5F89AB43-C0DC-4BC2-A1AD-9B3D644F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Anqing WU</cp:lastModifiedBy>
  <cp:revision>2</cp:revision>
  <cp:lastPrinted>2026-04-20T10:36:00Z</cp:lastPrinted>
  <dcterms:created xsi:type="dcterms:W3CDTF">2026-05-14T01:18:00Z</dcterms:created>
  <dcterms:modified xsi:type="dcterms:W3CDTF">2026-05-14T01:18:00Z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